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F964A" w14:textId="39936DA9" w:rsidR="006246F5" w:rsidRPr="006246F5" w:rsidRDefault="00984056" w:rsidP="00A94895">
      <w:pPr>
        <w:rPr>
          <w:b/>
          <w:noProof/>
          <w:u w:val="single"/>
        </w:rPr>
      </w:pPr>
      <w:r>
        <w:rPr>
          <w:b/>
          <w:noProof/>
          <w:u w:val="single"/>
        </w:rPr>
        <w:t xml:space="preserve"> </w:t>
      </w:r>
      <w:r w:rsidR="006246F5" w:rsidRPr="006246F5">
        <w:rPr>
          <w:b/>
          <w:noProof/>
          <w:u w:val="single"/>
        </w:rPr>
        <w:t>Belize COVID-19 Update</w:t>
      </w:r>
    </w:p>
    <w:p w14:paraId="3A7584D4" w14:textId="77777777" w:rsidR="006246F5" w:rsidRPr="006246F5" w:rsidRDefault="006246F5" w:rsidP="00A94895">
      <w:pPr>
        <w:rPr>
          <w:b/>
          <w:noProof/>
        </w:rPr>
      </w:pPr>
      <w:r w:rsidRPr="006246F5">
        <w:rPr>
          <w:b/>
          <w:noProof/>
        </w:rPr>
        <w:t>Regional Coordinator Daniel Mendez</w:t>
      </w:r>
    </w:p>
    <w:p w14:paraId="49757AE1" w14:textId="77777777" w:rsidR="00A94895" w:rsidRDefault="00216CBE" w:rsidP="00A94895">
      <w:pPr>
        <w:rPr>
          <w:noProof/>
        </w:rPr>
      </w:pPr>
      <w:r>
        <w:rPr>
          <w:noProof/>
        </w:rPr>
        <w:t>Covid-19 continues to cause major health, economic, social and psycho</w:t>
      </w:r>
      <w:r w:rsidR="00A94895">
        <w:rPr>
          <w:noProof/>
        </w:rPr>
        <w:t>logical impacts across the Americas</w:t>
      </w:r>
      <w:r>
        <w:rPr>
          <w:noProof/>
        </w:rPr>
        <w:t xml:space="preserve">. </w:t>
      </w:r>
      <w:r w:rsidR="00A94895">
        <w:rPr>
          <w:noProof/>
        </w:rPr>
        <w:t>As of 27 April 2020 an additional 39,084 cases and 1,716 deaths were reported, bringing the regional total close to 1.2 million cases including 66,608 deaths, a 3% relative increase in both total cases and deaths compared to the previous day (PAHO, 2020). In the Central American region, Panama has the highest numb</w:t>
      </w:r>
      <w:r w:rsidR="00FB7816">
        <w:rPr>
          <w:noProof/>
        </w:rPr>
        <w:t>er of confirmed cases (6, 021</w:t>
      </w:r>
      <w:r w:rsidR="00A94895">
        <w:rPr>
          <w:noProof/>
        </w:rPr>
        <w:t xml:space="preserve">), with other high </w:t>
      </w:r>
      <w:r w:rsidR="00FB7816">
        <w:rPr>
          <w:noProof/>
        </w:rPr>
        <w:t>numbers noted in Costa Rica (697) and Honduras (702</w:t>
      </w:r>
      <w:r w:rsidR="00F92C00">
        <w:rPr>
          <w:noProof/>
        </w:rPr>
        <w:t>). Guatemala has reported 530</w:t>
      </w:r>
      <w:r w:rsidR="00A94895">
        <w:rPr>
          <w:noProof/>
        </w:rPr>
        <w:t xml:space="preserve"> cases, whi</w:t>
      </w:r>
      <w:r w:rsidR="00F92C00">
        <w:rPr>
          <w:noProof/>
        </w:rPr>
        <w:t>le Mexico has a total of 15, 529</w:t>
      </w:r>
      <w:r w:rsidR="00A94895">
        <w:rPr>
          <w:noProof/>
        </w:rPr>
        <w:t xml:space="preserve"> confirmed cases (PAHO, 2020). </w:t>
      </w:r>
    </w:p>
    <w:p w14:paraId="3AF7D69E" w14:textId="77777777" w:rsidR="008265F6" w:rsidRDefault="008265F6" w:rsidP="00A94895">
      <w:pPr>
        <w:rPr>
          <w:noProof/>
        </w:rPr>
      </w:pPr>
      <w:r>
        <w:rPr>
          <w:noProof/>
        </w:rPr>
        <w:t xml:space="preserve">Table 1: </w:t>
      </w:r>
      <w:r w:rsidRPr="008265F6">
        <w:rPr>
          <w:noProof/>
        </w:rPr>
        <w:t>Cumulative confirmed and probable COVID-19 cases</w:t>
      </w:r>
      <w:r>
        <w:rPr>
          <w:noProof/>
        </w:rPr>
        <w:t xml:space="preserve"> (Source: PAHO)</w:t>
      </w:r>
    </w:p>
    <w:tbl>
      <w:tblPr>
        <w:tblStyle w:val="TableGrid"/>
        <w:tblW w:w="0" w:type="auto"/>
        <w:tblLook w:val="04A0" w:firstRow="1" w:lastRow="0" w:firstColumn="1" w:lastColumn="0" w:noHBand="0" w:noVBand="1"/>
      </w:tblPr>
      <w:tblGrid>
        <w:gridCol w:w="2336"/>
        <w:gridCol w:w="2338"/>
        <w:gridCol w:w="2338"/>
        <w:gridCol w:w="2338"/>
      </w:tblGrid>
      <w:tr w:rsidR="00A94895" w14:paraId="55771E5B" w14:textId="77777777" w:rsidTr="008265F6">
        <w:tc>
          <w:tcPr>
            <w:tcW w:w="2336" w:type="dxa"/>
            <w:shd w:val="clear" w:color="auto" w:fill="BDD6EE" w:themeFill="accent1" w:themeFillTint="66"/>
          </w:tcPr>
          <w:p w14:paraId="50F12CCF" w14:textId="77777777" w:rsidR="00A94895" w:rsidRDefault="00A94895" w:rsidP="00A94895">
            <w:pPr>
              <w:rPr>
                <w:noProof/>
              </w:rPr>
            </w:pPr>
            <w:bookmarkStart w:id="0" w:name="_Hlk40094736"/>
            <w:r>
              <w:rPr>
                <w:noProof/>
              </w:rPr>
              <w:t>Country</w:t>
            </w:r>
          </w:p>
        </w:tc>
        <w:tc>
          <w:tcPr>
            <w:tcW w:w="2338" w:type="dxa"/>
            <w:shd w:val="clear" w:color="auto" w:fill="BDD6EE" w:themeFill="accent1" w:themeFillTint="66"/>
          </w:tcPr>
          <w:p w14:paraId="4F50F0FE" w14:textId="77777777" w:rsidR="00A94895" w:rsidRDefault="00A94895" w:rsidP="00A94895">
            <w:pPr>
              <w:rPr>
                <w:noProof/>
              </w:rPr>
            </w:pPr>
            <w:r>
              <w:rPr>
                <w:noProof/>
              </w:rPr>
              <w:t>Confirmed Cases</w:t>
            </w:r>
          </w:p>
        </w:tc>
        <w:tc>
          <w:tcPr>
            <w:tcW w:w="2338" w:type="dxa"/>
            <w:shd w:val="clear" w:color="auto" w:fill="BDD6EE" w:themeFill="accent1" w:themeFillTint="66"/>
          </w:tcPr>
          <w:p w14:paraId="6F3A1A69" w14:textId="77777777" w:rsidR="00A94895" w:rsidRDefault="00A94895" w:rsidP="00A94895">
            <w:pPr>
              <w:rPr>
                <w:noProof/>
              </w:rPr>
            </w:pPr>
            <w:r>
              <w:rPr>
                <w:noProof/>
              </w:rPr>
              <w:t>Deaths</w:t>
            </w:r>
          </w:p>
        </w:tc>
        <w:tc>
          <w:tcPr>
            <w:tcW w:w="2338" w:type="dxa"/>
            <w:shd w:val="clear" w:color="auto" w:fill="BDD6EE" w:themeFill="accent1" w:themeFillTint="66"/>
          </w:tcPr>
          <w:p w14:paraId="23141BB1" w14:textId="77777777" w:rsidR="00A94895" w:rsidRDefault="00A94895" w:rsidP="00A94895">
            <w:pPr>
              <w:rPr>
                <w:noProof/>
              </w:rPr>
            </w:pPr>
            <w:r>
              <w:rPr>
                <w:noProof/>
              </w:rPr>
              <w:t>Recovered</w:t>
            </w:r>
          </w:p>
        </w:tc>
      </w:tr>
      <w:tr w:rsidR="00A94895" w14:paraId="584E7E4A" w14:textId="77777777" w:rsidTr="00A94895">
        <w:tc>
          <w:tcPr>
            <w:tcW w:w="2336" w:type="dxa"/>
          </w:tcPr>
          <w:p w14:paraId="55D466B8" w14:textId="77777777" w:rsidR="00A94895" w:rsidRDefault="00A94895" w:rsidP="00A94895">
            <w:pPr>
              <w:rPr>
                <w:noProof/>
              </w:rPr>
            </w:pPr>
            <w:r>
              <w:rPr>
                <w:noProof/>
              </w:rPr>
              <w:t>Panama</w:t>
            </w:r>
          </w:p>
        </w:tc>
        <w:tc>
          <w:tcPr>
            <w:tcW w:w="2338" w:type="dxa"/>
          </w:tcPr>
          <w:p w14:paraId="50757CA1" w14:textId="77777777" w:rsidR="00A94895" w:rsidRDefault="00F92C00" w:rsidP="00A94895">
            <w:pPr>
              <w:rPr>
                <w:noProof/>
              </w:rPr>
            </w:pPr>
            <w:r>
              <w:rPr>
                <w:noProof/>
              </w:rPr>
              <w:t>6, 021</w:t>
            </w:r>
          </w:p>
        </w:tc>
        <w:tc>
          <w:tcPr>
            <w:tcW w:w="2338" w:type="dxa"/>
          </w:tcPr>
          <w:p w14:paraId="463B19E2" w14:textId="77777777" w:rsidR="00A94895" w:rsidRDefault="00F92C00" w:rsidP="00A94895">
            <w:pPr>
              <w:rPr>
                <w:noProof/>
              </w:rPr>
            </w:pPr>
            <w:r>
              <w:rPr>
                <w:noProof/>
              </w:rPr>
              <w:t>167</w:t>
            </w:r>
          </w:p>
        </w:tc>
        <w:tc>
          <w:tcPr>
            <w:tcW w:w="2338" w:type="dxa"/>
          </w:tcPr>
          <w:p w14:paraId="645CD46E" w14:textId="77777777" w:rsidR="00A94895" w:rsidRDefault="00F92C00" w:rsidP="00A94895">
            <w:pPr>
              <w:rPr>
                <w:noProof/>
              </w:rPr>
            </w:pPr>
            <w:r>
              <w:rPr>
                <w:noProof/>
              </w:rPr>
              <w:t>455</w:t>
            </w:r>
          </w:p>
        </w:tc>
      </w:tr>
      <w:tr w:rsidR="00A94895" w14:paraId="78B6EB39" w14:textId="77777777" w:rsidTr="00A94895">
        <w:tc>
          <w:tcPr>
            <w:tcW w:w="2336" w:type="dxa"/>
          </w:tcPr>
          <w:p w14:paraId="564FC029" w14:textId="77777777" w:rsidR="00A94895" w:rsidRDefault="00A94895" w:rsidP="00A94895">
            <w:pPr>
              <w:rPr>
                <w:noProof/>
              </w:rPr>
            </w:pPr>
            <w:r>
              <w:rPr>
                <w:noProof/>
              </w:rPr>
              <w:t>Nicaragua</w:t>
            </w:r>
          </w:p>
        </w:tc>
        <w:tc>
          <w:tcPr>
            <w:tcW w:w="2338" w:type="dxa"/>
          </w:tcPr>
          <w:p w14:paraId="4C8BD895" w14:textId="77777777" w:rsidR="00A94895" w:rsidRDefault="00A94895" w:rsidP="00A94895">
            <w:pPr>
              <w:rPr>
                <w:noProof/>
              </w:rPr>
            </w:pPr>
            <w:r>
              <w:rPr>
                <w:noProof/>
              </w:rPr>
              <w:t>13</w:t>
            </w:r>
          </w:p>
        </w:tc>
        <w:tc>
          <w:tcPr>
            <w:tcW w:w="2338" w:type="dxa"/>
          </w:tcPr>
          <w:p w14:paraId="2C00B75A" w14:textId="77777777" w:rsidR="00A94895" w:rsidRDefault="00A94895" w:rsidP="00A94895">
            <w:pPr>
              <w:rPr>
                <w:noProof/>
              </w:rPr>
            </w:pPr>
            <w:r>
              <w:rPr>
                <w:noProof/>
              </w:rPr>
              <w:t>3</w:t>
            </w:r>
          </w:p>
        </w:tc>
        <w:tc>
          <w:tcPr>
            <w:tcW w:w="2338" w:type="dxa"/>
          </w:tcPr>
          <w:p w14:paraId="3286CEC3" w14:textId="77777777" w:rsidR="00A94895" w:rsidRDefault="00A94895" w:rsidP="00A94895">
            <w:pPr>
              <w:rPr>
                <w:noProof/>
              </w:rPr>
            </w:pPr>
            <w:r>
              <w:rPr>
                <w:noProof/>
              </w:rPr>
              <w:t>7</w:t>
            </w:r>
          </w:p>
        </w:tc>
      </w:tr>
      <w:tr w:rsidR="00A94895" w14:paraId="636A08FC" w14:textId="77777777" w:rsidTr="00A94895">
        <w:tc>
          <w:tcPr>
            <w:tcW w:w="2336" w:type="dxa"/>
          </w:tcPr>
          <w:p w14:paraId="1C6AE87D" w14:textId="77777777" w:rsidR="00A94895" w:rsidRDefault="00A94895" w:rsidP="00A94895">
            <w:pPr>
              <w:rPr>
                <w:noProof/>
              </w:rPr>
            </w:pPr>
            <w:r>
              <w:rPr>
                <w:noProof/>
              </w:rPr>
              <w:t>Costa Rica</w:t>
            </w:r>
          </w:p>
        </w:tc>
        <w:tc>
          <w:tcPr>
            <w:tcW w:w="2338" w:type="dxa"/>
          </w:tcPr>
          <w:p w14:paraId="4C65C3C6" w14:textId="77777777" w:rsidR="00A94895" w:rsidRDefault="00F92C00" w:rsidP="00A94895">
            <w:pPr>
              <w:rPr>
                <w:noProof/>
              </w:rPr>
            </w:pPr>
            <w:r>
              <w:rPr>
                <w:noProof/>
              </w:rPr>
              <w:t>697</w:t>
            </w:r>
          </w:p>
        </w:tc>
        <w:tc>
          <w:tcPr>
            <w:tcW w:w="2338" w:type="dxa"/>
          </w:tcPr>
          <w:p w14:paraId="77145DE4" w14:textId="77777777" w:rsidR="00A94895" w:rsidRDefault="00A94895" w:rsidP="00A94895">
            <w:pPr>
              <w:rPr>
                <w:noProof/>
              </w:rPr>
            </w:pPr>
            <w:r>
              <w:rPr>
                <w:noProof/>
              </w:rPr>
              <w:t>6</w:t>
            </w:r>
          </w:p>
        </w:tc>
        <w:tc>
          <w:tcPr>
            <w:tcW w:w="2338" w:type="dxa"/>
          </w:tcPr>
          <w:p w14:paraId="6362E14C" w14:textId="77777777" w:rsidR="00A94895" w:rsidRDefault="00F92C00" w:rsidP="00A94895">
            <w:pPr>
              <w:rPr>
                <w:noProof/>
              </w:rPr>
            </w:pPr>
            <w:r>
              <w:rPr>
                <w:noProof/>
              </w:rPr>
              <w:t>287</w:t>
            </w:r>
          </w:p>
        </w:tc>
      </w:tr>
      <w:tr w:rsidR="00A94895" w14:paraId="73546335" w14:textId="77777777" w:rsidTr="00A94895">
        <w:tc>
          <w:tcPr>
            <w:tcW w:w="2336" w:type="dxa"/>
          </w:tcPr>
          <w:p w14:paraId="75E7865B" w14:textId="77777777" w:rsidR="00A94895" w:rsidRDefault="00A94895" w:rsidP="00A94895">
            <w:pPr>
              <w:rPr>
                <w:noProof/>
              </w:rPr>
            </w:pPr>
            <w:r>
              <w:rPr>
                <w:noProof/>
              </w:rPr>
              <w:t>Honduras</w:t>
            </w:r>
          </w:p>
        </w:tc>
        <w:tc>
          <w:tcPr>
            <w:tcW w:w="2338" w:type="dxa"/>
          </w:tcPr>
          <w:p w14:paraId="4E1A56F4" w14:textId="77777777" w:rsidR="00A94895" w:rsidRDefault="00F92C00" w:rsidP="00A94895">
            <w:pPr>
              <w:rPr>
                <w:noProof/>
              </w:rPr>
            </w:pPr>
            <w:r>
              <w:rPr>
                <w:noProof/>
              </w:rPr>
              <w:t>702</w:t>
            </w:r>
          </w:p>
        </w:tc>
        <w:tc>
          <w:tcPr>
            <w:tcW w:w="2338" w:type="dxa"/>
          </w:tcPr>
          <w:p w14:paraId="6386BF42" w14:textId="77777777" w:rsidR="00A94895" w:rsidRDefault="00F92C00" w:rsidP="00A94895">
            <w:pPr>
              <w:rPr>
                <w:noProof/>
              </w:rPr>
            </w:pPr>
            <w:r>
              <w:rPr>
                <w:noProof/>
              </w:rPr>
              <w:t>64</w:t>
            </w:r>
          </w:p>
        </w:tc>
        <w:tc>
          <w:tcPr>
            <w:tcW w:w="2338" w:type="dxa"/>
          </w:tcPr>
          <w:p w14:paraId="4364210A" w14:textId="77777777" w:rsidR="00A94895" w:rsidRDefault="00F92C00" w:rsidP="00A94895">
            <w:pPr>
              <w:rPr>
                <w:noProof/>
              </w:rPr>
            </w:pPr>
            <w:r>
              <w:rPr>
                <w:noProof/>
              </w:rPr>
              <w:t>73</w:t>
            </w:r>
          </w:p>
        </w:tc>
      </w:tr>
      <w:tr w:rsidR="00A94895" w14:paraId="25174D1F" w14:textId="77777777" w:rsidTr="00A94895">
        <w:tc>
          <w:tcPr>
            <w:tcW w:w="2336" w:type="dxa"/>
          </w:tcPr>
          <w:p w14:paraId="076EDBA6" w14:textId="77777777" w:rsidR="00A94895" w:rsidRDefault="00A94895" w:rsidP="00A94895">
            <w:pPr>
              <w:rPr>
                <w:noProof/>
              </w:rPr>
            </w:pPr>
            <w:r>
              <w:rPr>
                <w:noProof/>
              </w:rPr>
              <w:t>El Salvador</w:t>
            </w:r>
          </w:p>
        </w:tc>
        <w:tc>
          <w:tcPr>
            <w:tcW w:w="2338" w:type="dxa"/>
          </w:tcPr>
          <w:p w14:paraId="42ED184A" w14:textId="77777777" w:rsidR="00A94895" w:rsidRDefault="00F92C00" w:rsidP="00A94895">
            <w:pPr>
              <w:rPr>
                <w:noProof/>
              </w:rPr>
            </w:pPr>
            <w:r>
              <w:rPr>
                <w:noProof/>
              </w:rPr>
              <w:t>345</w:t>
            </w:r>
          </w:p>
        </w:tc>
        <w:tc>
          <w:tcPr>
            <w:tcW w:w="2338" w:type="dxa"/>
          </w:tcPr>
          <w:p w14:paraId="1CC9B670" w14:textId="77777777" w:rsidR="00A94895" w:rsidRDefault="00A94895" w:rsidP="00A94895">
            <w:pPr>
              <w:rPr>
                <w:noProof/>
              </w:rPr>
            </w:pPr>
            <w:r>
              <w:rPr>
                <w:noProof/>
              </w:rPr>
              <w:t>8</w:t>
            </w:r>
          </w:p>
        </w:tc>
        <w:tc>
          <w:tcPr>
            <w:tcW w:w="2338" w:type="dxa"/>
          </w:tcPr>
          <w:p w14:paraId="01689B37" w14:textId="77777777" w:rsidR="00A94895" w:rsidRDefault="00F92C00" w:rsidP="00A94895">
            <w:pPr>
              <w:rPr>
                <w:noProof/>
              </w:rPr>
            </w:pPr>
            <w:r>
              <w:rPr>
                <w:noProof/>
              </w:rPr>
              <w:t>97</w:t>
            </w:r>
          </w:p>
        </w:tc>
      </w:tr>
      <w:tr w:rsidR="00A94895" w14:paraId="51843F92" w14:textId="77777777" w:rsidTr="00A94895">
        <w:tc>
          <w:tcPr>
            <w:tcW w:w="2336" w:type="dxa"/>
          </w:tcPr>
          <w:p w14:paraId="09F66453" w14:textId="77777777" w:rsidR="00A94895" w:rsidRDefault="00A94895" w:rsidP="00A94895">
            <w:pPr>
              <w:rPr>
                <w:noProof/>
              </w:rPr>
            </w:pPr>
            <w:r>
              <w:rPr>
                <w:noProof/>
              </w:rPr>
              <w:t>Guatemala</w:t>
            </w:r>
          </w:p>
        </w:tc>
        <w:tc>
          <w:tcPr>
            <w:tcW w:w="2338" w:type="dxa"/>
          </w:tcPr>
          <w:p w14:paraId="4C737CC3" w14:textId="77777777" w:rsidR="00A94895" w:rsidRDefault="00F92C00" w:rsidP="00A94895">
            <w:pPr>
              <w:rPr>
                <w:noProof/>
              </w:rPr>
            </w:pPr>
            <w:r>
              <w:rPr>
                <w:noProof/>
              </w:rPr>
              <w:t>530</w:t>
            </w:r>
          </w:p>
        </w:tc>
        <w:tc>
          <w:tcPr>
            <w:tcW w:w="2338" w:type="dxa"/>
          </w:tcPr>
          <w:p w14:paraId="0586144E" w14:textId="77777777" w:rsidR="00A94895" w:rsidRDefault="00A94895" w:rsidP="00A94895">
            <w:pPr>
              <w:rPr>
                <w:noProof/>
              </w:rPr>
            </w:pPr>
            <w:r>
              <w:rPr>
                <w:noProof/>
              </w:rPr>
              <w:t>15</w:t>
            </w:r>
          </w:p>
        </w:tc>
        <w:tc>
          <w:tcPr>
            <w:tcW w:w="2338" w:type="dxa"/>
          </w:tcPr>
          <w:p w14:paraId="03C5ACD6" w14:textId="77777777" w:rsidR="00A94895" w:rsidRDefault="00A94895" w:rsidP="00A94895">
            <w:pPr>
              <w:rPr>
                <w:noProof/>
              </w:rPr>
            </w:pPr>
            <w:r>
              <w:rPr>
                <w:noProof/>
              </w:rPr>
              <w:t>49</w:t>
            </w:r>
          </w:p>
        </w:tc>
      </w:tr>
      <w:tr w:rsidR="00A94895" w14:paraId="47F7B5E8" w14:textId="77777777" w:rsidTr="00A94895">
        <w:tc>
          <w:tcPr>
            <w:tcW w:w="2336" w:type="dxa"/>
          </w:tcPr>
          <w:p w14:paraId="598795DC" w14:textId="77777777" w:rsidR="00A94895" w:rsidRDefault="00A94895" w:rsidP="00A94895">
            <w:pPr>
              <w:rPr>
                <w:noProof/>
              </w:rPr>
            </w:pPr>
            <w:r>
              <w:rPr>
                <w:noProof/>
              </w:rPr>
              <w:t>Belize</w:t>
            </w:r>
          </w:p>
        </w:tc>
        <w:tc>
          <w:tcPr>
            <w:tcW w:w="2338" w:type="dxa"/>
          </w:tcPr>
          <w:p w14:paraId="418D0040" w14:textId="77777777" w:rsidR="00A94895" w:rsidRDefault="00A94895" w:rsidP="00A94895">
            <w:pPr>
              <w:rPr>
                <w:noProof/>
              </w:rPr>
            </w:pPr>
            <w:r>
              <w:rPr>
                <w:noProof/>
              </w:rPr>
              <w:t>18</w:t>
            </w:r>
          </w:p>
        </w:tc>
        <w:tc>
          <w:tcPr>
            <w:tcW w:w="2338" w:type="dxa"/>
          </w:tcPr>
          <w:p w14:paraId="594F5D3B" w14:textId="77777777" w:rsidR="00A94895" w:rsidRDefault="00A94895" w:rsidP="00A94895">
            <w:pPr>
              <w:rPr>
                <w:noProof/>
              </w:rPr>
            </w:pPr>
            <w:r>
              <w:rPr>
                <w:noProof/>
              </w:rPr>
              <w:t>2</w:t>
            </w:r>
          </w:p>
        </w:tc>
        <w:tc>
          <w:tcPr>
            <w:tcW w:w="2338" w:type="dxa"/>
          </w:tcPr>
          <w:p w14:paraId="54B8934C" w14:textId="77777777" w:rsidR="00A94895" w:rsidRDefault="008265F6" w:rsidP="00A94895">
            <w:pPr>
              <w:rPr>
                <w:noProof/>
              </w:rPr>
            </w:pPr>
            <w:r>
              <w:rPr>
                <w:noProof/>
              </w:rPr>
              <w:t>6</w:t>
            </w:r>
          </w:p>
        </w:tc>
      </w:tr>
      <w:tr w:rsidR="00A94895" w14:paraId="38A36C8B" w14:textId="77777777" w:rsidTr="00A94895">
        <w:tc>
          <w:tcPr>
            <w:tcW w:w="2336" w:type="dxa"/>
          </w:tcPr>
          <w:p w14:paraId="050A6352" w14:textId="77777777" w:rsidR="00A94895" w:rsidRDefault="00A94895" w:rsidP="00A94895">
            <w:pPr>
              <w:rPr>
                <w:noProof/>
              </w:rPr>
            </w:pPr>
            <w:r>
              <w:rPr>
                <w:noProof/>
              </w:rPr>
              <w:t>Mexico</w:t>
            </w:r>
          </w:p>
        </w:tc>
        <w:tc>
          <w:tcPr>
            <w:tcW w:w="2338" w:type="dxa"/>
          </w:tcPr>
          <w:p w14:paraId="7A90F2B0" w14:textId="77777777" w:rsidR="00A94895" w:rsidRDefault="00F92C00" w:rsidP="00A94895">
            <w:pPr>
              <w:rPr>
                <w:noProof/>
              </w:rPr>
            </w:pPr>
            <w:r>
              <w:rPr>
                <w:noProof/>
              </w:rPr>
              <w:t>15, 529</w:t>
            </w:r>
          </w:p>
        </w:tc>
        <w:tc>
          <w:tcPr>
            <w:tcW w:w="2338" w:type="dxa"/>
          </w:tcPr>
          <w:p w14:paraId="25BB4918" w14:textId="77777777" w:rsidR="00A94895" w:rsidRDefault="00F92C00" w:rsidP="00A94895">
            <w:pPr>
              <w:rPr>
                <w:noProof/>
              </w:rPr>
            </w:pPr>
            <w:r>
              <w:rPr>
                <w:noProof/>
              </w:rPr>
              <w:t>1, 434</w:t>
            </w:r>
          </w:p>
        </w:tc>
        <w:tc>
          <w:tcPr>
            <w:tcW w:w="2338" w:type="dxa"/>
          </w:tcPr>
          <w:p w14:paraId="1CEFDAA3" w14:textId="77777777" w:rsidR="00A94895" w:rsidRDefault="00F92C00" w:rsidP="00A94895">
            <w:pPr>
              <w:rPr>
                <w:noProof/>
              </w:rPr>
            </w:pPr>
            <w:r>
              <w:rPr>
                <w:noProof/>
              </w:rPr>
              <w:t>2, 288</w:t>
            </w:r>
          </w:p>
        </w:tc>
      </w:tr>
      <w:bookmarkEnd w:id="0"/>
    </w:tbl>
    <w:p w14:paraId="63FC90D2" w14:textId="77777777" w:rsidR="00C851FF" w:rsidRDefault="00C851FF" w:rsidP="00A94895">
      <w:pPr>
        <w:rPr>
          <w:noProof/>
        </w:rPr>
      </w:pPr>
    </w:p>
    <w:p w14:paraId="2610DB21" w14:textId="77777777" w:rsidR="000C6910" w:rsidRDefault="00216CBE" w:rsidP="000C6910">
      <w:r>
        <w:rPr>
          <w:noProof/>
        </w:rPr>
        <w:t xml:space="preserve">Belize, located in both Central America and the Caribbean, has not escaped unscathed as the virus continues its spread in the region. </w:t>
      </w:r>
      <w:r w:rsidR="008265F6">
        <w:rPr>
          <w:noProof/>
        </w:rPr>
        <w:t>T</w:t>
      </w:r>
      <w:r>
        <w:rPr>
          <w:noProof/>
        </w:rPr>
        <w:t xml:space="preserve">he country has </w:t>
      </w:r>
      <w:r w:rsidR="008265F6">
        <w:rPr>
          <w:noProof/>
        </w:rPr>
        <w:t>confirmed</w:t>
      </w:r>
      <w:r w:rsidR="0091494E">
        <w:rPr>
          <w:noProof/>
        </w:rPr>
        <w:t xml:space="preserve"> 18 cases and fortunately, </w:t>
      </w:r>
      <w:r>
        <w:rPr>
          <w:noProof/>
        </w:rPr>
        <w:t>only two deaths. As of April 2</w:t>
      </w:r>
      <w:r w:rsidR="00F92C00">
        <w:rPr>
          <w:noProof/>
        </w:rPr>
        <w:t>8</w:t>
      </w:r>
      <w:r w:rsidRPr="00216CBE">
        <w:rPr>
          <w:noProof/>
          <w:vertAlign w:val="superscript"/>
        </w:rPr>
        <w:t>th</w:t>
      </w:r>
      <w:r>
        <w:rPr>
          <w:noProof/>
        </w:rPr>
        <w:t xml:space="preserve">, </w:t>
      </w:r>
      <w:r w:rsidR="000C6910">
        <w:rPr>
          <w:noProof/>
        </w:rPr>
        <w:t xml:space="preserve">there </w:t>
      </w:r>
      <w:r w:rsidR="008265F6">
        <w:rPr>
          <w:noProof/>
        </w:rPr>
        <w:t>we</w:t>
      </w:r>
      <w:r w:rsidR="00F92C00">
        <w:rPr>
          <w:noProof/>
        </w:rPr>
        <w:t>re only 7</w:t>
      </w:r>
      <w:r w:rsidR="000C6910">
        <w:rPr>
          <w:noProof/>
        </w:rPr>
        <w:t xml:space="preserve"> active cases, </w:t>
      </w:r>
      <w:r w:rsidR="00F92C00">
        <w:rPr>
          <w:noProof/>
        </w:rPr>
        <w:t>9</w:t>
      </w:r>
      <w:r w:rsidR="000C6910">
        <w:rPr>
          <w:noProof/>
        </w:rPr>
        <w:t xml:space="preserve"> persons have recovered and two deaths; none of the active patients is hospitalized (Belize Ministry of Health, 2020).</w:t>
      </w:r>
      <w:r>
        <w:rPr>
          <w:noProof/>
        </w:rPr>
        <w:t xml:space="preserve"> </w:t>
      </w:r>
      <w:proofErr w:type="spellStart"/>
      <w:r w:rsidR="000C6910">
        <w:t>Тhіѕ</w:t>
      </w:r>
      <w:proofErr w:type="spellEnd"/>
      <w:r w:rsidR="000C6910">
        <w:t xml:space="preserve"> </w:t>
      </w:r>
      <w:proofErr w:type="spellStart"/>
      <w:r w:rsidR="000C6910">
        <w:t>іѕ</w:t>
      </w:r>
      <w:proofErr w:type="spellEnd"/>
      <w:r w:rsidR="000C6910">
        <w:t xml:space="preserve"> </w:t>
      </w:r>
      <w:proofErr w:type="spellStart"/>
      <w:r w:rsidR="000C6910">
        <w:t>thе</w:t>
      </w:r>
      <w:proofErr w:type="spellEnd"/>
      <w:r w:rsidR="000C6910">
        <w:t xml:space="preserve"> 1</w:t>
      </w:r>
      <w:r w:rsidR="00495CBA">
        <w:t>6</w:t>
      </w:r>
      <w:r w:rsidR="000C6910" w:rsidRPr="000C6910">
        <w:rPr>
          <w:vertAlign w:val="superscript"/>
        </w:rPr>
        <w:t>th</w:t>
      </w:r>
      <w:r w:rsidR="000C6910">
        <w:t xml:space="preserve"> </w:t>
      </w:r>
      <w:proofErr w:type="spellStart"/>
      <w:r w:rsidR="000C6910">
        <w:t>соnѕесutіvе</w:t>
      </w:r>
      <w:proofErr w:type="spellEnd"/>
      <w:r w:rsidR="000C6910">
        <w:t xml:space="preserve"> </w:t>
      </w:r>
      <w:proofErr w:type="spellStart"/>
      <w:r w:rsidR="000C6910">
        <w:t>dау</w:t>
      </w:r>
      <w:proofErr w:type="spellEnd"/>
      <w:r w:rsidR="000C6910">
        <w:t xml:space="preserve"> </w:t>
      </w:r>
      <w:proofErr w:type="spellStart"/>
      <w:r w:rsidR="000C6910">
        <w:t>wіth</w:t>
      </w:r>
      <w:proofErr w:type="spellEnd"/>
      <w:r w:rsidR="000C6910">
        <w:t xml:space="preserve"> </w:t>
      </w:r>
      <w:proofErr w:type="spellStart"/>
      <w:r w:rsidR="000C6910">
        <w:t>nо</w:t>
      </w:r>
      <w:proofErr w:type="spellEnd"/>
      <w:r w:rsidR="000C6910">
        <w:t xml:space="preserve"> </w:t>
      </w:r>
      <w:proofErr w:type="spellStart"/>
      <w:r w:rsidR="000C6910">
        <w:t>nеw</w:t>
      </w:r>
      <w:proofErr w:type="spellEnd"/>
      <w:r w:rsidR="000C6910">
        <w:t xml:space="preserve"> </w:t>
      </w:r>
      <w:proofErr w:type="spellStart"/>
      <w:r w:rsidR="000C6910">
        <w:t>саѕеѕ</w:t>
      </w:r>
      <w:proofErr w:type="spellEnd"/>
      <w:r w:rsidR="000C6910">
        <w:t xml:space="preserve"> </w:t>
      </w:r>
      <w:proofErr w:type="spellStart"/>
      <w:r w:rsidR="000C6910">
        <w:t>rероrtеd</w:t>
      </w:r>
      <w:proofErr w:type="spellEnd"/>
      <w:r w:rsidR="000C6910">
        <w:t xml:space="preserve">, while 36 </w:t>
      </w:r>
      <w:proofErr w:type="spellStart"/>
      <w:r w:rsidR="000C6910">
        <w:t>реrѕоnѕ</w:t>
      </w:r>
      <w:proofErr w:type="spellEnd"/>
      <w:r w:rsidR="000C6910">
        <w:t xml:space="preserve"> </w:t>
      </w:r>
      <w:proofErr w:type="spellStart"/>
      <w:r w:rsidR="000C6910">
        <w:t>rеmаіn</w:t>
      </w:r>
      <w:proofErr w:type="spellEnd"/>
      <w:r w:rsidR="000C6910">
        <w:t xml:space="preserve"> </w:t>
      </w:r>
      <w:proofErr w:type="spellStart"/>
      <w:r w:rsidR="000C6910">
        <w:t>undеr</w:t>
      </w:r>
      <w:proofErr w:type="spellEnd"/>
      <w:r w:rsidR="000C6910">
        <w:t xml:space="preserve"> </w:t>
      </w:r>
      <w:proofErr w:type="spellStart"/>
      <w:r w:rsidR="000C6910">
        <w:t>іnvеѕtіgаtіоn</w:t>
      </w:r>
      <w:proofErr w:type="spellEnd"/>
      <w:r w:rsidR="000C6910">
        <w:t xml:space="preserve">. </w:t>
      </w:r>
      <w:proofErr w:type="spellStart"/>
      <w:r w:rsidR="000C6910">
        <w:t>Thе</w:t>
      </w:r>
      <w:proofErr w:type="spellEnd"/>
      <w:r w:rsidR="000C6910">
        <w:t xml:space="preserve"> </w:t>
      </w:r>
      <w:proofErr w:type="spellStart"/>
      <w:r w:rsidR="000C6910">
        <w:t>Міnіѕtrу</w:t>
      </w:r>
      <w:proofErr w:type="spellEnd"/>
      <w:r w:rsidR="000C6910">
        <w:t xml:space="preserve"> </w:t>
      </w:r>
      <w:proofErr w:type="spellStart"/>
      <w:r w:rsidR="000C6910">
        <w:t>оf</w:t>
      </w:r>
      <w:proofErr w:type="spellEnd"/>
      <w:r w:rsidR="000C6910">
        <w:t xml:space="preserve"> </w:t>
      </w:r>
      <w:proofErr w:type="spellStart"/>
      <w:r w:rsidR="000C6910">
        <w:t>Неаlth</w:t>
      </w:r>
      <w:proofErr w:type="spellEnd"/>
      <w:r w:rsidR="000C6910">
        <w:t xml:space="preserve"> </w:t>
      </w:r>
      <w:proofErr w:type="spellStart"/>
      <w:r w:rsidR="000C6910">
        <w:t>hаѕ</w:t>
      </w:r>
      <w:proofErr w:type="spellEnd"/>
      <w:r w:rsidR="000C6910">
        <w:t xml:space="preserve"> </w:t>
      </w:r>
      <w:proofErr w:type="spellStart"/>
      <w:r w:rsidR="000C6910">
        <w:t>bееn</w:t>
      </w:r>
      <w:proofErr w:type="spellEnd"/>
      <w:r w:rsidR="000C6910">
        <w:t xml:space="preserve"> concentrating its efforts on </w:t>
      </w:r>
      <w:proofErr w:type="spellStart"/>
      <w:r w:rsidR="000C6910">
        <w:t>hеаlth</w:t>
      </w:r>
      <w:proofErr w:type="spellEnd"/>
      <w:r w:rsidR="000C6910">
        <w:t xml:space="preserve"> </w:t>
      </w:r>
      <w:proofErr w:type="spellStart"/>
      <w:r w:rsidR="000C6910">
        <w:t>саrе</w:t>
      </w:r>
      <w:proofErr w:type="spellEnd"/>
      <w:r w:rsidR="000C6910">
        <w:t xml:space="preserve"> </w:t>
      </w:r>
      <w:proofErr w:type="spellStart"/>
      <w:r w:rsidR="000C6910">
        <w:t>wоrkеrѕ</w:t>
      </w:r>
      <w:proofErr w:type="spellEnd"/>
      <w:r w:rsidR="000C6910">
        <w:t xml:space="preserve"> </w:t>
      </w:r>
      <w:proofErr w:type="spellStart"/>
      <w:r w:rsidR="000C6910">
        <w:t>ехроѕеd</w:t>
      </w:r>
      <w:proofErr w:type="spellEnd"/>
      <w:r w:rsidR="000C6910">
        <w:t xml:space="preserve"> </w:t>
      </w:r>
      <w:proofErr w:type="spellStart"/>
      <w:r w:rsidR="000C6910">
        <w:t>tо</w:t>
      </w:r>
      <w:proofErr w:type="spellEnd"/>
      <w:r w:rsidR="000C6910">
        <w:t xml:space="preserve"> СОVІD-19 while </w:t>
      </w:r>
      <w:proofErr w:type="spellStart"/>
      <w:r w:rsidR="000C6910">
        <w:t>оn</w:t>
      </w:r>
      <w:proofErr w:type="spellEnd"/>
      <w:r w:rsidR="000C6910">
        <w:t xml:space="preserve"> </w:t>
      </w:r>
      <w:proofErr w:type="spellStart"/>
      <w:r w:rsidR="000C6910">
        <w:t>thе</w:t>
      </w:r>
      <w:proofErr w:type="spellEnd"/>
      <w:r w:rsidR="000C6910">
        <w:t xml:space="preserve"> </w:t>
      </w:r>
      <w:proofErr w:type="spellStart"/>
      <w:r w:rsidR="000C6910">
        <w:t>јоb</w:t>
      </w:r>
      <w:proofErr w:type="spellEnd"/>
      <w:r w:rsidR="000C6910">
        <w:t xml:space="preserve"> </w:t>
      </w:r>
      <w:proofErr w:type="spellStart"/>
      <w:r w:rsidR="000C6910">
        <w:t>аnd</w:t>
      </w:r>
      <w:proofErr w:type="spellEnd"/>
      <w:r w:rsidR="000C6910">
        <w:t xml:space="preserve"> </w:t>
      </w:r>
      <w:proofErr w:type="spellStart"/>
      <w:r w:rsidR="000C6910">
        <w:t>ѕоmе</w:t>
      </w:r>
      <w:proofErr w:type="spellEnd"/>
      <w:r w:rsidR="000C6910">
        <w:t xml:space="preserve"> </w:t>
      </w:r>
      <w:proofErr w:type="spellStart"/>
      <w:r w:rsidR="000C6910">
        <w:t>ѕесоndаrу</w:t>
      </w:r>
      <w:proofErr w:type="spellEnd"/>
      <w:r w:rsidR="000C6910">
        <w:t xml:space="preserve"> </w:t>
      </w:r>
      <w:proofErr w:type="spellStart"/>
      <w:r w:rsidR="000C6910">
        <w:t>аnd</w:t>
      </w:r>
      <w:proofErr w:type="spellEnd"/>
      <w:r w:rsidR="000C6910">
        <w:t xml:space="preserve"> </w:t>
      </w:r>
      <w:proofErr w:type="spellStart"/>
      <w:r w:rsidR="000C6910">
        <w:t>tеrtіаrу</w:t>
      </w:r>
      <w:proofErr w:type="spellEnd"/>
      <w:r w:rsidR="000C6910">
        <w:t xml:space="preserve"> </w:t>
      </w:r>
      <w:proofErr w:type="spellStart"/>
      <w:r w:rsidR="000C6910">
        <w:t>соntасtѕ</w:t>
      </w:r>
      <w:proofErr w:type="spellEnd"/>
      <w:r w:rsidR="000C6910">
        <w:t xml:space="preserve"> of the positive patients. </w:t>
      </w:r>
      <w:proofErr w:type="spellStart"/>
      <w:r w:rsidR="000C6910">
        <w:t>Thе</w:t>
      </w:r>
      <w:proofErr w:type="spellEnd"/>
      <w:r w:rsidR="000C6910">
        <w:t xml:space="preserve"> </w:t>
      </w:r>
      <w:r w:rsidR="008265F6">
        <w:t xml:space="preserve">Government of Belize has </w:t>
      </w:r>
      <w:r w:rsidR="0082736B">
        <w:t xml:space="preserve">also </w:t>
      </w:r>
      <w:r w:rsidR="008265F6">
        <w:t>extended the</w:t>
      </w:r>
      <w:r w:rsidR="000C6910">
        <w:t xml:space="preserve"> </w:t>
      </w:r>
      <w:proofErr w:type="spellStart"/>
      <w:r w:rsidR="000C6910">
        <w:t>сurrеnt</w:t>
      </w:r>
      <w:proofErr w:type="spellEnd"/>
      <w:r w:rsidR="000C6910">
        <w:t xml:space="preserve"> </w:t>
      </w:r>
      <w:proofErr w:type="spellStart"/>
      <w:r w:rsidR="000C6910">
        <w:t>ѕtаtе</w:t>
      </w:r>
      <w:proofErr w:type="spellEnd"/>
      <w:r w:rsidR="000C6910">
        <w:t xml:space="preserve"> </w:t>
      </w:r>
      <w:proofErr w:type="spellStart"/>
      <w:r w:rsidR="000C6910">
        <w:t>оf</w:t>
      </w:r>
      <w:proofErr w:type="spellEnd"/>
      <w:r w:rsidR="000C6910">
        <w:t xml:space="preserve"> </w:t>
      </w:r>
      <w:proofErr w:type="spellStart"/>
      <w:r w:rsidR="000C6910">
        <w:t>е</w:t>
      </w:r>
      <w:r w:rsidR="0091494E">
        <w:t>mеrgеnсу</w:t>
      </w:r>
      <w:proofErr w:type="spellEnd"/>
      <w:r w:rsidR="0091494E">
        <w:t xml:space="preserve"> </w:t>
      </w:r>
      <w:proofErr w:type="spellStart"/>
      <w:r w:rsidR="0091494E">
        <w:t>whісh</w:t>
      </w:r>
      <w:proofErr w:type="spellEnd"/>
      <w:r w:rsidR="0091494E">
        <w:t xml:space="preserve"> </w:t>
      </w:r>
      <w:proofErr w:type="spellStart"/>
      <w:r w:rsidR="0091494E">
        <w:t>ехріrеѕ</w:t>
      </w:r>
      <w:proofErr w:type="spellEnd"/>
      <w:r w:rsidR="0091494E">
        <w:t xml:space="preserve"> on May 1</w:t>
      </w:r>
      <w:r w:rsidR="0091494E" w:rsidRPr="0091494E">
        <w:rPr>
          <w:vertAlign w:val="superscript"/>
        </w:rPr>
        <w:t>st</w:t>
      </w:r>
      <w:r w:rsidR="0091494E">
        <w:t xml:space="preserve"> </w:t>
      </w:r>
      <w:r w:rsidR="0082736B">
        <w:t xml:space="preserve"> </w:t>
      </w:r>
      <w:r w:rsidR="008265F6">
        <w:t>for a further</w:t>
      </w:r>
      <w:r w:rsidR="000C6910">
        <w:t xml:space="preserve"> 60 days. </w:t>
      </w:r>
    </w:p>
    <w:p w14:paraId="6FB33729" w14:textId="77777777" w:rsidR="00F92C00" w:rsidRDefault="00F92C00" w:rsidP="000C6910">
      <w:pPr>
        <w:rPr>
          <w:noProof/>
        </w:rPr>
      </w:pPr>
    </w:p>
    <w:p w14:paraId="4958063F" w14:textId="77777777" w:rsidR="00F92C00" w:rsidRDefault="00F92C00" w:rsidP="00F92C00">
      <w:pPr>
        <w:jc w:val="center"/>
      </w:pPr>
      <w:r>
        <w:rPr>
          <w:noProof/>
        </w:rPr>
        <w:lastRenderedPageBreak/>
        <w:drawing>
          <wp:inline distT="0" distB="0" distL="0" distR="0" wp14:anchorId="7FD3E0AE" wp14:editId="7E5F7D60">
            <wp:extent cx="3440124" cy="3562350"/>
            <wp:effectExtent l="0" t="0" r="8255" b="0"/>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rotWithShape="1">
                    <a:blip r:embed="rId5">
                      <a:extLst>
                        <a:ext uri="{28A0092B-C50C-407E-A947-70E740481C1C}">
                          <a14:useLocalDpi xmlns:a14="http://schemas.microsoft.com/office/drawing/2010/main" val="0"/>
                        </a:ext>
                      </a:extLst>
                    </a:blip>
                    <a:srcRect l="2564" t="8639" r="2393" b="14471"/>
                    <a:stretch/>
                  </pic:blipFill>
                  <pic:spPr bwMode="auto">
                    <a:xfrm>
                      <a:off x="0" y="0"/>
                      <a:ext cx="3448966" cy="3571506"/>
                    </a:xfrm>
                    <a:prstGeom prst="rect">
                      <a:avLst/>
                    </a:prstGeom>
                    <a:noFill/>
                    <a:ln>
                      <a:noFill/>
                    </a:ln>
                    <a:extLst>
                      <a:ext uri="{53640926-AAD7-44D8-BBD7-CCE9431645EC}">
                        <a14:shadowObscured xmlns:a14="http://schemas.microsoft.com/office/drawing/2010/main"/>
                      </a:ext>
                    </a:extLst>
                  </pic:spPr>
                </pic:pic>
              </a:graphicData>
            </a:graphic>
          </wp:inline>
        </w:drawing>
      </w:r>
    </w:p>
    <w:p w14:paraId="50F47D85" w14:textId="77777777" w:rsidR="00F92C00" w:rsidRPr="00F92C00" w:rsidRDefault="00F92C00" w:rsidP="00F92C00">
      <w:pPr>
        <w:jc w:val="center"/>
        <w:rPr>
          <w:i/>
          <w:sz w:val="20"/>
        </w:rPr>
      </w:pPr>
      <w:r w:rsidRPr="00F92C00">
        <w:rPr>
          <w:i/>
          <w:sz w:val="20"/>
        </w:rPr>
        <w:t>Figure 1: Current COVID-19 Status (Source: Belize Ministry of Health)</w:t>
      </w:r>
    </w:p>
    <w:p w14:paraId="4E8040F7" w14:textId="77777777" w:rsidR="006246F5" w:rsidRDefault="00E83952" w:rsidP="000C6910">
      <w:r>
        <w:t xml:space="preserve">Although the Ministry of Health has not yet provided any analysis on Belize’s low numbers, </w:t>
      </w:r>
      <w:r w:rsidR="0082736B">
        <w:t xml:space="preserve">it can be </w:t>
      </w:r>
      <w:r w:rsidR="0091494E">
        <w:t>inferred</w:t>
      </w:r>
      <w:r w:rsidR="0082736B">
        <w:t xml:space="preserve"> that the steps that were taken several weeks ago have been effective. The first case was reported on March</w:t>
      </w:r>
      <w:r w:rsidR="00230904">
        <w:t xml:space="preserve"> 23</w:t>
      </w:r>
      <w:r w:rsidR="00230904" w:rsidRPr="00230904">
        <w:rPr>
          <w:vertAlign w:val="superscript"/>
        </w:rPr>
        <w:t>rd</w:t>
      </w:r>
      <w:r w:rsidR="00230904">
        <w:t>, but several steps had already been taken</w:t>
      </w:r>
      <w:r w:rsidR="0091494E">
        <w:t xml:space="preserve"> weeks before</w:t>
      </w:r>
      <w:r w:rsidR="00230904">
        <w:t>. These included:</w:t>
      </w:r>
    </w:p>
    <w:p w14:paraId="294921EB" w14:textId="77777777" w:rsidR="00230904" w:rsidRDefault="00230904" w:rsidP="00D62BFE">
      <w:pPr>
        <w:pStyle w:val="ListParagraph"/>
        <w:numPr>
          <w:ilvl w:val="0"/>
          <w:numId w:val="1"/>
        </w:numPr>
      </w:pPr>
      <w:r>
        <w:t>Closure of schools for 14 days;</w:t>
      </w:r>
    </w:p>
    <w:p w14:paraId="75A6F435" w14:textId="77777777" w:rsidR="00230904" w:rsidRDefault="00230904" w:rsidP="00D62BFE">
      <w:pPr>
        <w:pStyle w:val="ListParagraph"/>
        <w:numPr>
          <w:ilvl w:val="0"/>
          <w:numId w:val="1"/>
        </w:numPr>
      </w:pPr>
      <w:r>
        <w:t>Limiting social gatherings to 100 persons;</w:t>
      </w:r>
    </w:p>
    <w:p w14:paraId="20F38C2B" w14:textId="77777777" w:rsidR="00230904" w:rsidRDefault="00230904" w:rsidP="00D62BFE">
      <w:pPr>
        <w:pStyle w:val="ListParagraph"/>
        <w:numPr>
          <w:ilvl w:val="0"/>
          <w:numId w:val="1"/>
        </w:numPr>
      </w:pPr>
      <w:r>
        <w:t xml:space="preserve">Prohibition of entry into Belize by nationals of and persons who had traveled within the last 30 days from China, Hong Kong, Iran, Japan, South Korea, and Europe, including the United Kingdom. </w:t>
      </w:r>
    </w:p>
    <w:p w14:paraId="3A550B4A" w14:textId="77777777" w:rsidR="00230904" w:rsidRDefault="00230904" w:rsidP="00D62BFE">
      <w:pPr>
        <w:pStyle w:val="ListParagraph"/>
        <w:numPr>
          <w:ilvl w:val="0"/>
          <w:numId w:val="1"/>
        </w:numPr>
      </w:pPr>
      <w:r>
        <w:t>Closure of all ports of entry in Belize for passengers, except for the Mexico-Belize border and the international a</w:t>
      </w:r>
      <w:r w:rsidR="00907123">
        <w:t>irport</w:t>
      </w:r>
      <w:r>
        <w:t>.  This did not apply to cargo vessels.</w:t>
      </w:r>
    </w:p>
    <w:p w14:paraId="6B9EDC2A" w14:textId="77777777" w:rsidR="00907123" w:rsidRDefault="00230904" w:rsidP="00BA465C">
      <w:r>
        <w:t>When the first case was reported on the island of San Pedro, the Government then declared a State of Emergency and announced a 14-day quarantine on the island, embarked on contact tracing and began testing. As further cases were reported, the Go</w:t>
      </w:r>
      <w:r w:rsidR="00BA465C">
        <w:t>vernment added further layers of measures within the affected communities, as well as nationally. On March 25</w:t>
      </w:r>
      <w:r w:rsidR="00BA465C" w:rsidRPr="00BA465C">
        <w:rPr>
          <w:vertAlign w:val="superscript"/>
        </w:rPr>
        <w:t>th</w:t>
      </w:r>
      <w:r w:rsidR="00BA465C">
        <w:t xml:space="preserve">, it was announced that persons must form a line to access services and maintain a distance of at least 3 feet between each other, must limit social gatherings to no more than 10 persons and that persons who are ill and are exhibiting flu-like symptoms are to refrain from accessing services in person. </w:t>
      </w:r>
    </w:p>
    <w:p w14:paraId="48711FA2" w14:textId="77777777" w:rsidR="00907123" w:rsidRDefault="00907123" w:rsidP="00BA465C">
      <w:r>
        <w:t>On April 1</w:t>
      </w:r>
      <w:r w:rsidRPr="00907123">
        <w:rPr>
          <w:vertAlign w:val="superscript"/>
        </w:rPr>
        <w:t>st</w:t>
      </w:r>
      <w:r>
        <w:t>, t</w:t>
      </w:r>
      <w:r w:rsidRPr="00907123">
        <w:t xml:space="preserve">he </w:t>
      </w:r>
      <w:r>
        <w:t>G</w:t>
      </w:r>
      <w:r w:rsidRPr="00907123">
        <w:t>overnment of Belize declared a nationwide state of emergency for 30 days and</w:t>
      </w:r>
      <w:r>
        <w:t xml:space="preserve"> </w:t>
      </w:r>
      <w:r w:rsidRPr="00907123">
        <w:t>implement</w:t>
      </w:r>
      <w:r>
        <w:t>ed</w:t>
      </w:r>
      <w:r w:rsidRPr="00907123">
        <w:t xml:space="preserve"> a curf</w:t>
      </w:r>
      <w:r>
        <w:t>ew from 2000 to 0500 and imposed a lockdown intended to dissuade persons from leaving</w:t>
      </w:r>
      <w:r w:rsidRPr="00907123">
        <w:t xml:space="preserve"> their homes except for specific reasons, including buying essential goods, attending medical appointments or to work in essential services. Police </w:t>
      </w:r>
      <w:r>
        <w:t xml:space="preserve">were </w:t>
      </w:r>
      <w:r w:rsidRPr="00907123">
        <w:t xml:space="preserve">given powers to </w:t>
      </w:r>
      <w:r>
        <w:t xml:space="preserve">stop and </w:t>
      </w:r>
      <w:r w:rsidRPr="00907123">
        <w:t xml:space="preserve">question </w:t>
      </w:r>
      <w:r>
        <w:t xml:space="preserve">persons </w:t>
      </w:r>
      <w:r>
        <w:lastRenderedPageBreak/>
        <w:t xml:space="preserve">seen moving around during the curfew and arrest anyone </w:t>
      </w:r>
      <w:r w:rsidRPr="00907123">
        <w:t xml:space="preserve">violating the orders. Belize </w:t>
      </w:r>
      <w:r>
        <w:t>closed its terrestrial and marine borders with Mexico and Guatemala and closed the</w:t>
      </w:r>
      <w:r w:rsidRPr="00907123">
        <w:t xml:space="preserve"> Philip S.W. Goldson International Airport</w:t>
      </w:r>
      <w:r>
        <w:t xml:space="preserve"> to all flights except for cargo. The last time a nationwide state of emergency was declared was in 1981, in response to major social unrest </w:t>
      </w:r>
      <w:r w:rsidR="00EB3D48">
        <w:t xml:space="preserve">surrounding the independence movement. </w:t>
      </w:r>
    </w:p>
    <w:p w14:paraId="36D764BE" w14:textId="77777777" w:rsidR="00FB7816" w:rsidRDefault="00EB3D48" w:rsidP="00BA465C">
      <w:r>
        <w:t xml:space="preserve">As the numbers in Belize decrease, the general sentiment of the people seems to be acceptance that the measures need to continue, albeit the need to open the country’s suffering economy. From my perspective, the Government has been doing a very good job at crisis communications, broadcasting a daily information session called “Ask the Experts”, providing daily COVID-19 updates from the Ministry of Health and hosting regular Prime Minister press conferences. The extension of the state of emergency allows the government to slowly open the country in a measured and careful manner. This is very important given the high numbers of cases among our immediate </w:t>
      </w:r>
      <w:proofErr w:type="spellStart"/>
      <w:r>
        <w:t>neighours</w:t>
      </w:r>
      <w:proofErr w:type="spellEnd"/>
      <w:r>
        <w:t xml:space="preserve"> – Mexico, Guatemala and Honduras. </w:t>
      </w:r>
      <w:r w:rsidR="00FB7816">
        <w:t xml:space="preserve">At this point, the government needs to ensure that it balances the need to protect the damaged economy and the affected sectors (tourism, agriculture, production) with the need to prevent any future infections in the country. Belize has successfully controlled the spread of COVID-19 but now needs to look to the medium and long-term recovery of the country. </w:t>
      </w:r>
    </w:p>
    <w:p w14:paraId="00408D2B" w14:textId="77777777" w:rsidR="00FB7816" w:rsidRDefault="00FB7816" w:rsidP="00BA465C"/>
    <w:p w14:paraId="47744A51" w14:textId="77777777" w:rsidR="00FB7816" w:rsidRDefault="00FB7816" w:rsidP="00BA465C">
      <w:r>
        <w:t>Sources:</w:t>
      </w:r>
    </w:p>
    <w:p w14:paraId="5353D8E6" w14:textId="77777777" w:rsidR="00F92C00" w:rsidRDefault="00495CBA" w:rsidP="00F92C00">
      <w:r>
        <w:t xml:space="preserve">Ministry of Health (2020) ‘Belize SARSCOV2 Lab Screenings’, available online at: </w:t>
      </w:r>
      <w:hyperlink r:id="rId6" w:history="1">
        <w:r>
          <w:rPr>
            <w:rStyle w:val="Hyperlink"/>
          </w:rPr>
          <w:t>https://www.facebook.com/GOBPressOffice/photos/a.725115727523933/2866965340005617/?type=3&amp;theater</w:t>
        </w:r>
      </w:hyperlink>
      <w:r>
        <w:t xml:space="preserve">, accessed April 29, 2020. </w:t>
      </w:r>
    </w:p>
    <w:p w14:paraId="52B4BEC1" w14:textId="77777777" w:rsidR="00495CBA" w:rsidRDefault="00495CBA" w:rsidP="00495CBA">
      <w:r>
        <w:t xml:space="preserve">PAHO (2020) ‘Cumulative confirmed and probable COVID-19 cases reported by countries and territories in the Americas, as of 28 April 2020 Updated as of 2PM’, available online at: </w:t>
      </w:r>
      <w:hyperlink r:id="rId7" w:history="1">
        <w:r>
          <w:rPr>
            <w:rStyle w:val="Hyperlink"/>
          </w:rPr>
          <w:t>https://ais.paho.org/phip/viz/COVID19Table.asp</w:t>
        </w:r>
      </w:hyperlink>
      <w:r>
        <w:t>, accessed April 29, 2020.</w:t>
      </w:r>
    </w:p>
    <w:p w14:paraId="7B06CBB9" w14:textId="77777777" w:rsidR="00EB3D48" w:rsidRDefault="00EB3D48" w:rsidP="00BA465C"/>
    <w:p w14:paraId="4EC281B3" w14:textId="77777777" w:rsidR="001744F6" w:rsidRDefault="00C851FF" w:rsidP="000C6910">
      <w:pPr>
        <w:jc w:val="center"/>
      </w:pPr>
    </w:p>
    <w:p w14:paraId="16F695DC" w14:textId="77777777" w:rsidR="00F776E3" w:rsidRDefault="00495CBA" w:rsidP="00495CBA">
      <w:pPr>
        <w:tabs>
          <w:tab w:val="left" w:pos="7515"/>
        </w:tabs>
      </w:pPr>
      <w:r>
        <w:tab/>
      </w:r>
    </w:p>
    <w:p w14:paraId="0CDFC6A2" w14:textId="22131053" w:rsidR="00F776E3" w:rsidRDefault="00C851FF" w:rsidP="00F776E3">
      <w:r>
        <w:rPr>
          <w:noProof/>
        </w:rPr>
        <w:drawing>
          <wp:inline distT="0" distB="0" distL="0" distR="0" wp14:anchorId="50660D2E" wp14:editId="32C01B63">
            <wp:extent cx="3323462" cy="9462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342" t="36885" r="21739" b="34796"/>
                    <a:stretch/>
                  </pic:blipFill>
                  <pic:spPr bwMode="auto">
                    <a:xfrm>
                      <a:off x="0" y="0"/>
                      <a:ext cx="3323593" cy="946242"/>
                    </a:xfrm>
                    <a:prstGeom prst="rect">
                      <a:avLst/>
                    </a:prstGeom>
                    <a:ln>
                      <a:noFill/>
                    </a:ln>
                    <a:extLst>
                      <a:ext uri="{53640926-AAD7-44D8-BBD7-CCE9431645EC}">
                        <a14:shadowObscured xmlns:a14="http://schemas.microsoft.com/office/drawing/2010/main"/>
                      </a:ext>
                    </a:extLst>
                  </pic:spPr>
                </pic:pic>
              </a:graphicData>
            </a:graphic>
          </wp:inline>
        </w:drawing>
      </w:r>
    </w:p>
    <w:sectPr w:rsidR="00F7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D2BFE"/>
    <w:multiLevelType w:val="hybridMultilevel"/>
    <w:tmpl w:val="C0C86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46762"/>
    <w:multiLevelType w:val="hybridMultilevel"/>
    <w:tmpl w:val="C50CE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E3"/>
    <w:rsid w:val="000C6910"/>
    <w:rsid w:val="00216CBE"/>
    <w:rsid w:val="00230904"/>
    <w:rsid w:val="0033648C"/>
    <w:rsid w:val="0037478B"/>
    <w:rsid w:val="00495CBA"/>
    <w:rsid w:val="006246F5"/>
    <w:rsid w:val="006F75EC"/>
    <w:rsid w:val="008265F6"/>
    <w:rsid w:val="0082736B"/>
    <w:rsid w:val="00856EAA"/>
    <w:rsid w:val="00907123"/>
    <w:rsid w:val="0091494E"/>
    <w:rsid w:val="00984056"/>
    <w:rsid w:val="00A300EE"/>
    <w:rsid w:val="00A94895"/>
    <w:rsid w:val="00BA465C"/>
    <w:rsid w:val="00C851FF"/>
    <w:rsid w:val="00D62BFE"/>
    <w:rsid w:val="00E83952"/>
    <w:rsid w:val="00EB3D48"/>
    <w:rsid w:val="00F776E3"/>
    <w:rsid w:val="00F92C00"/>
    <w:rsid w:val="00FB781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70A1"/>
  <w15:chartTrackingRefBased/>
  <w15:docId w15:val="{0A4D07A7-60E1-4E74-931B-5F9B268E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BFE"/>
    <w:pPr>
      <w:ind w:left="720"/>
      <w:contextualSpacing/>
    </w:pPr>
  </w:style>
  <w:style w:type="character" w:styleId="Hyperlink">
    <w:name w:val="Hyperlink"/>
    <w:basedOn w:val="DefaultParagraphFont"/>
    <w:uiPriority w:val="99"/>
    <w:semiHidden/>
    <w:unhideWhenUsed/>
    <w:rsid w:val="00F92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192265">
      <w:bodyDiv w:val="1"/>
      <w:marLeft w:val="0"/>
      <w:marRight w:val="0"/>
      <w:marTop w:val="0"/>
      <w:marBottom w:val="0"/>
      <w:divBdr>
        <w:top w:val="none" w:sz="0" w:space="0" w:color="auto"/>
        <w:left w:val="none" w:sz="0" w:space="0" w:color="auto"/>
        <w:bottom w:val="none" w:sz="0" w:space="0" w:color="auto"/>
        <w:right w:val="none" w:sz="0" w:space="0" w:color="auto"/>
      </w:divBdr>
    </w:div>
    <w:div w:id="1241864354">
      <w:bodyDiv w:val="1"/>
      <w:marLeft w:val="0"/>
      <w:marRight w:val="0"/>
      <w:marTop w:val="0"/>
      <w:marBottom w:val="0"/>
      <w:divBdr>
        <w:top w:val="none" w:sz="0" w:space="0" w:color="auto"/>
        <w:left w:val="none" w:sz="0" w:space="0" w:color="auto"/>
        <w:bottom w:val="none" w:sz="0" w:space="0" w:color="auto"/>
        <w:right w:val="none" w:sz="0" w:space="0" w:color="auto"/>
      </w:divBdr>
      <w:divsChild>
        <w:div w:id="1325669738">
          <w:marLeft w:val="0"/>
          <w:marRight w:val="0"/>
          <w:marTop w:val="150"/>
          <w:marBottom w:val="150"/>
          <w:divBdr>
            <w:top w:val="none" w:sz="0" w:space="0" w:color="auto"/>
            <w:left w:val="none" w:sz="0" w:space="0" w:color="auto"/>
            <w:bottom w:val="none" w:sz="0" w:space="0" w:color="auto"/>
            <w:right w:val="none" w:sz="0" w:space="0" w:color="auto"/>
          </w:divBdr>
        </w:div>
        <w:div w:id="2002200087">
          <w:marLeft w:val="0"/>
          <w:marRight w:val="0"/>
          <w:marTop w:val="0"/>
          <w:marBottom w:val="0"/>
          <w:divBdr>
            <w:top w:val="none" w:sz="0" w:space="0" w:color="auto"/>
            <w:left w:val="none" w:sz="0" w:space="0" w:color="auto"/>
            <w:bottom w:val="none" w:sz="0" w:space="0" w:color="auto"/>
            <w:right w:val="none" w:sz="0" w:space="0" w:color="auto"/>
          </w:divBdr>
        </w:div>
      </w:divsChild>
    </w:div>
    <w:div w:id="1390107593">
      <w:bodyDiv w:val="1"/>
      <w:marLeft w:val="0"/>
      <w:marRight w:val="0"/>
      <w:marTop w:val="0"/>
      <w:marBottom w:val="0"/>
      <w:divBdr>
        <w:top w:val="none" w:sz="0" w:space="0" w:color="auto"/>
        <w:left w:val="none" w:sz="0" w:space="0" w:color="auto"/>
        <w:bottom w:val="none" w:sz="0" w:space="0" w:color="auto"/>
        <w:right w:val="none" w:sz="0" w:space="0" w:color="auto"/>
      </w:divBdr>
    </w:div>
    <w:div w:id="15122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is.paho.org/phip/viz/COVID19Tabl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OBPressOffice/photos/a.725115727523933/2866965340005617/?type=3&amp;theate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Daniel</dc:creator>
  <cp:keywords/>
  <dc:description/>
  <cp:lastModifiedBy>Denise Corsel</cp:lastModifiedBy>
  <cp:revision>2</cp:revision>
  <dcterms:created xsi:type="dcterms:W3CDTF">2020-05-11T12:10:00Z</dcterms:created>
  <dcterms:modified xsi:type="dcterms:W3CDTF">2020-05-11T12:10:00Z</dcterms:modified>
</cp:coreProperties>
</file>